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FB6" w:rsidRPr="00FB58F7" w:rsidRDefault="00AB5FB6" w:rsidP="00FB58F7">
      <w:pPr>
        <w:jc w:val="center"/>
        <w:rPr>
          <w:rFonts w:ascii="Arial" w:hAnsi="Arial" w:cs="Arial"/>
          <w:b/>
          <w:color w:val="365F91" w:themeColor="accent1" w:themeShade="BF"/>
          <w:sz w:val="28"/>
          <w:u w:val="single"/>
        </w:rPr>
      </w:pPr>
      <w:r w:rsidRPr="00FB58F7">
        <w:rPr>
          <w:rFonts w:ascii="Arial" w:hAnsi="Arial" w:cs="Arial"/>
          <w:b/>
          <w:color w:val="365F91" w:themeColor="accent1" w:themeShade="BF"/>
          <w:sz w:val="28"/>
          <w:u w:val="single"/>
        </w:rPr>
        <w:t>China Ends Its Rare Earth Ore Export Quota</w:t>
      </w:r>
    </w:p>
    <w:p w:rsidR="00603734" w:rsidRPr="00FB58F7" w:rsidRDefault="00AB5FB6" w:rsidP="00E043F8">
      <w:pPr>
        <w:pStyle w:val="NoSpacing"/>
        <w:spacing w:line="276" w:lineRule="auto"/>
        <w:ind w:firstLine="720"/>
        <w:rPr>
          <w:rFonts w:ascii="Arial" w:hAnsi="Arial" w:cs="Arial"/>
          <w:shd w:val="clear" w:color="auto" w:fill="FFFFFF"/>
        </w:rPr>
      </w:pPr>
      <w:r w:rsidRPr="00FB58F7">
        <w:rPr>
          <w:rFonts w:ascii="Arial" w:hAnsi="Arial" w:cs="Arial"/>
        </w:rPr>
        <w:t xml:space="preserve">After losing its battle in the final ruling in the World Trade Organization (WTO), Beijing ended its decades’ practice of rare earth ore export quotas system. </w:t>
      </w:r>
      <w:r w:rsidRPr="00FB58F7">
        <w:rPr>
          <w:rFonts w:ascii="Arial" w:hAnsi="Arial" w:cs="Arial"/>
          <w:shd w:val="clear" w:color="auto" w:fill="FFFFFF"/>
        </w:rPr>
        <w:t xml:space="preserve">On December 31, 2014 China’s Ministry of Commerce (MOFCOM) and the General Administration of Customs (GAC) jointly issued two announcements, </w:t>
      </w:r>
      <w:bookmarkStart w:id="0" w:name="_GoBack"/>
      <w:bookmarkEnd w:id="0"/>
      <w:r w:rsidRPr="00FB58F7">
        <w:rPr>
          <w:rFonts w:ascii="Arial" w:hAnsi="Arial" w:cs="Arial"/>
          <w:shd w:val="clear" w:color="auto" w:fill="FFFFFF"/>
        </w:rPr>
        <w:t>effective January 1, 2015: “Catalogue of Commodities Subject to Export License Administration in 2015 (Announcement [2014] No.94)” and “License-Issuing Catalogue in Grades of Export License Administration in 2015(Announcement [2014] No.97)”. Enterprises no longer need to provide approved export quota documents fr</w:t>
      </w:r>
      <w:r w:rsidR="00620EF4">
        <w:rPr>
          <w:rFonts w:ascii="Arial" w:hAnsi="Arial" w:cs="Arial"/>
          <w:shd w:val="clear" w:color="auto" w:fill="FFFFFF"/>
        </w:rPr>
        <w:t>om the Ministry of Commerce for a</w:t>
      </w:r>
      <w:r w:rsidRPr="00FB58F7">
        <w:rPr>
          <w:rFonts w:ascii="Arial" w:hAnsi="Arial" w:cs="Arial"/>
          <w:shd w:val="clear" w:color="auto" w:fill="FFFFFF"/>
        </w:rPr>
        <w:t xml:space="preserve"> total 8 types of goods: rare earths, tungsten and tungsten products, bauxite, coke, </w:t>
      </w:r>
      <w:r w:rsidR="003A16AB" w:rsidRPr="00FB58F7">
        <w:rPr>
          <w:rFonts w:ascii="Arial" w:hAnsi="Arial" w:cs="Arial"/>
          <w:shd w:val="clear" w:color="auto" w:fill="FFFFFF"/>
        </w:rPr>
        <w:t xml:space="preserve">silicon carbide, manganese, molybdenum, and fluorspar. </w:t>
      </w:r>
    </w:p>
    <w:p w:rsidR="001835A3" w:rsidRDefault="001835A3" w:rsidP="00E043F8">
      <w:pPr>
        <w:pStyle w:val="NoSpacing"/>
        <w:spacing w:line="276" w:lineRule="auto"/>
        <w:ind w:firstLine="720"/>
        <w:rPr>
          <w:rFonts w:ascii="Arial" w:hAnsi="Arial" w:cs="Arial"/>
          <w:shd w:val="clear" w:color="auto" w:fill="FFFFFF"/>
        </w:rPr>
      </w:pPr>
    </w:p>
    <w:p w:rsidR="00603734" w:rsidRDefault="00603734" w:rsidP="00E043F8">
      <w:pPr>
        <w:pStyle w:val="NoSpacing"/>
        <w:spacing w:line="276" w:lineRule="auto"/>
        <w:ind w:firstLine="720"/>
        <w:rPr>
          <w:rFonts w:ascii="Arial" w:hAnsi="Arial" w:cs="Arial"/>
          <w:shd w:val="clear" w:color="auto" w:fill="FFFFFF"/>
        </w:rPr>
      </w:pPr>
      <w:r w:rsidRPr="00FB58F7">
        <w:rPr>
          <w:rFonts w:ascii="Arial" w:hAnsi="Arial" w:cs="Arial"/>
          <w:shd w:val="clear" w:color="auto" w:fill="FFFFFF"/>
        </w:rPr>
        <w:t>China’s export restrictions are strategic in the sense that they have been producing about 93% of global rare earths, up until the recent reduction to 86% due to other countries and manufacturers increasing their supply.</w:t>
      </w:r>
      <w:r w:rsidR="001835A3">
        <w:rPr>
          <w:rFonts w:ascii="Arial" w:hAnsi="Arial" w:cs="Arial"/>
          <w:shd w:val="clear" w:color="auto" w:fill="FFFFFF"/>
        </w:rPr>
        <w:t xml:space="preserve">  In addition, they control the majority of the world’s tungsten ore supply.</w:t>
      </w:r>
    </w:p>
    <w:p w:rsidR="00FB58F7" w:rsidRPr="00FB58F7" w:rsidRDefault="00FB58F7" w:rsidP="00E043F8">
      <w:pPr>
        <w:pStyle w:val="NoSpacing"/>
        <w:spacing w:line="276" w:lineRule="auto"/>
        <w:ind w:firstLine="720"/>
        <w:rPr>
          <w:rFonts w:ascii="Arial" w:hAnsi="Arial" w:cs="Arial"/>
          <w:shd w:val="clear" w:color="auto" w:fill="FFFFFF"/>
        </w:rPr>
      </w:pPr>
    </w:p>
    <w:tbl>
      <w:tblPr>
        <w:tblStyle w:val="TableGrid"/>
        <w:tblW w:w="9693" w:type="dxa"/>
        <w:tblLook w:val="04A0" w:firstRow="1" w:lastRow="0" w:firstColumn="1" w:lastColumn="0" w:noHBand="0" w:noVBand="1"/>
      </w:tblPr>
      <w:tblGrid>
        <w:gridCol w:w="1840"/>
        <w:gridCol w:w="2551"/>
        <w:gridCol w:w="2733"/>
        <w:gridCol w:w="2569"/>
      </w:tblGrid>
      <w:tr w:rsidR="002F35AD" w:rsidRPr="00FB58F7" w:rsidTr="00610558">
        <w:trPr>
          <w:trHeight w:val="878"/>
        </w:trPr>
        <w:tc>
          <w:tcPr>
            <w:tcW w:w="1840" w:type="dxa"/>
          </w:tcPr>
          <w:p w:rsidR="002F35AD" w:rsidRPr="00FB58F7" w:rsidRDefault="002F35AD" w:rsidP="00E043F8">
            <w:pPr>
              <w:pStyle w:val="NoSpacing"/>
              <w:spacing w:line="276" w:lineRule="auto"/>
              <w:rPr>
                <w:rFonts w:ascii="Arial" w:hAnsi="Arial" w:cs="Arial"/>
                <w:b/>
                <w:bdr w:val="none" w:sz="0" w:space="0" w:color="auto" w:frame="1"/>
              </w:rPr>
            </w:pPr>
            <w:r w:rsidRPr="00FB58F7">
              <w:rPr>
                <w:rFonts w:ascii="Arial" w:hAnsi="Arial" w:cs="Arial"/>
                <w:b/>
                <w:bdr w:val="none" w:sz="0" w:space="0" w:color="auto" w:frame="1"/>
              </w:rPr>
              <w:t>Year</w:t>
            </w:r>
          </w:p>
        </w:tc>
        <w:tc>
          <w:tcPr>
            <w:tcW w:w="2551" w:type="dxa"/>
          </w:tcPr>
          <w:p w:rsidR="002F35AD" w:rsidRPr="00FB58F7" w:rsidRDefault="002F35AD" w:rsidP="00E043F8">
            <w:pPr>
              <w:pStyle w:val="NoSpacing"/>
              <w:spacing w:line="276" w:lineRule="auto"/>
              <w:rPr>
                <w:rFonts w:ascii="Arial" w:hAnsi="Arial" w:cs="Arial"/>
                <w:b/>
                <w:bdr w:val="none" w:sz="0" w:space="0" w:color="auto" w:frame="1"/>
              </w:rPr>
            </w:pPr>
            <w:r w:rsidRPr="00FB58F7">
              <w:rPr>
                <w:rFonts w:ascii="Arial" w:hAnsi="Arial" w:cs="Arial"/>
                <w:b/>
                <w:bdr w:val="none" w:sz="0" w:space="0" w:color="auto" w:frame="1"/>
              </w:rPr>
              <w:t>Maximum Export Quotas (tons)</w:t>
            </w:r>
          </w:p>
        </w:tc>
        <w:tc>
          <w:tcPr>
            <w:tcW w:w="2733" w:type="dxa"/>
          </w:tcPr>
          <w:p w:rsidR="002F35AD" w:rsidRPr="00FB58F7" w:rsidRDefault="002F35AD" w:rsidP="00E043F8">
            <w:pPr>
              <w:pStyle w:val="NoSpacing"/>
              <w:spacing w:line="276" w:lineRule="auto"/>
              <w:rPr>
                <w:rFonts w:ascii="Arial" w:hAnsi="Arial" w:cs="Arial"/>
                <w:b/>
                <w:bdr w:val="none" w:sz="0" w:space="0" w:color="auto" w:frame="1"/>
              </w:rPr>
            </w:pPr>
            <w:r w:rsidRPr="00FB58F7">
              <w:rPr>
                <w:rFonts w:ascii="Arial" w:hAnsi="Arial" w:cs="Arial"/>
                <w:b/>
                <w:bdr w:val="none" w:sz="0" w:space="0" w:color="auto" w:frame="1"/>
              </w:rPr>
              <w:t>Actual Export (tons)</w:t>
            </w:r>
          </w:p>
        </w:tc>
        <w:tc>
          <w:tcPr>
            <w:tcW w:w="2569" w:type="dxa"/>
          </w:tcPr>
          <w:p w:rsidR="002F35AD" w:rsidRPr="00FB58F7" w:rsidRDefault="002F35AD" w:rsidP="00E043F8">
            <w:pPr>
              <w:pStyle w:val="NoSpacing"/>
              <w:spacing w:line="276" w:lineRule="auto"/>
              <w:rPr>
                <w:rFonts w:ascii="Arial" w:hAnsi="Arial" w:cs="Arial"/>
                <w:b/>
                <w:bdr w:val="none" w:sz="0" w:space="0" w:color="auto" w:frame="1"/>
              </w:rPr>
            </w:pPr>
            <w:r w:rsidRPr="00FB58F7">
              <w:rPr>
                <w:rFonts w:ascii="Arial" w:hAnsi="Arial" w:cs="Arial"/>
                <w:b/>
                <w:bdr w:val="none" w:sz="0" w:space="0" w:color="auto" w:frame="1"/>
              </w:rPr>
              <w:t xml:space="preserve">Quotas </w:t>
            </w:r>
            <w:r w:rsidRPr="00FB58F7">
              <w:rPr>
                <w:rFonts w:ascii="Arial" w:eastAsia="SimSun" w:hAnsi="Arial" w:cs="Arial"/>
                <w:b/>
              </w:rPr>
              <w:t>utilization rate (%)</w:t>
            </w:r>
          </w:p>
        </w:tc>
      </w:tr>
      <w:tr w:rsidR="002F35AD" w:rsidRPr="00FB58F7" w:rsidTr="00610558">
        <w:trPr>
          <w:trHeight w:val="474"/>
        </w:trPr>
        <w:tc>
          <w:tcPr>
            <w:tcW w:w="1840" w:type="dxa"/>
          </w:tcPr>
          <w:p w:rsidR="002F35AD" w:rsidRPr="00FB58F7" w:rsidRDefault="002F35AD" w:rsidP="00E043F8">
            <w:pPr>
              <w:pStyle w:val="NoSpacing"/>
              <w:spacing w:line="276" w:lineRule="auto"/>
              <w:rPr>
                <w:rFonts w:ascii="Arial" w:hAnsi="Arial" w:cs="Arial"/>
                <w:b/>
              </w:rPr>
            </w:pPr>
            <w:r w:rsidRPr="00FB58F7">
              <w:rPr>
                <w:rFonts w:ascii="Arial" w:hAnsi="Arial" w:cs="Arial"/>
                <w:b/>
              </w:rPr>
              <w:t>2014</w:t>
            </w:r>
          </w:p>
        </w:tc>
        <w:tc>
          <w:tcPr>
            <w:tcW w:w="2551" w:type="dxa"/>
          </w:tcPr>
          <w:p w:rsidR="002F35AD" w:rsidRPr="00FB58F7" w:rsidRDefault="002F35AD" w:rsidP="00E043F8">
            <w:pPr>
              <w:pStyle w:val="NoSpacing"/>
              <w:spacing w:line="276" w:lineRule="auto"/>
              <w:rPr>
                <w:rFonts w:ascii="Arial" w:hAnsi="Arial" w:cs="Arial"/>
                <w:b/>
                <w:bdr w:val="none" w:sz="0" w:space="0" w:color="auto" w:frame="1"/>
              </w:rPr>
            </w:pPr>
            <w:r w:rsidRPr="00FB58F7">
              <w:rPr>
                <w:rFonts w:ascii="Arial" w:hAnsi="Arial" w:cs="Arial"/>
                <w:b/>
                <w:bdr w:val="none" w:sz="0" w:space="0" w:color="auto" w:frame="1"/>
              </w:rPr>
              <w:t>30,611</w:t>
            </w:r>
          </w:p>
        </w:tc>
        <w:tc>
          <w:tcPr>
            <w:tcW w:w="2733" w:type="dxa"/>
          </w:tcPr>
          <w:p w:rsidR="002F35AD" w:rsidRPr="00FB58F7" w:rsidRDefault="002F35AD" w:rsidP="00E043F8">
            <w:pPr>
              <w:pStyle w:val="NoSpacing"/>
              <w:spacing w:line="276" w:lineRule="auto"/>
              <w:rPr>
                <w:rFonts w:ascii="Arial" w:hAnsi="Arial" w:cs="Arial"/>
                <w:b/>
                <w:bdr w:val="none" w:sz="0" w:space="0" w:color="auto" w:frame="1"/>
              </w:rPr>
            </w:pPr>
            <w:r w:rsidRPr="00FB58F7">
              <w:rPr>
                <w:rFonts w:ascii="Arial" w:hAnsi="Arial" w:cs="Arial"/>
                <w:b/>
                <w:bdr w:val="none" w:sz="0" w:space="0" w:color="auto" w:frame="1"/>
              </w:rPr>
              <w:t>24,866 (11 month)</w:t>
            </w:r>
          </w:p>
        </w:tc>
        <w:tc>
          <w:tcPr>
            <w:tcW w:w="2569" w:type="dxa"/>
          </w:tcPr>
          <w:p w:rsidR="002F35AD" w:rsidRPr="00FB58F7" w:rsidRDefault="002F35AD" w:rsidP="00E043F8">
            <w:pPr>
              <w:pStyle w:val="NoSpacing"/>
              <w:spacing w:line="276" w:lineRule="auto"/>
              <w:rPr>
                <w:rFonts w:ascii="Arial" w:hAnsi="Arial" w:cs="Arial"/>
                <w:b/>
              </w:rPr>
            </w:pPr>
            <w:r w:rsidRPr="00FB58F7">
              <w:rPr>
                <w:rFonts w:ascii="Arial" w:hAnsi="Arial" w:cs="Arial"/>
                <w:b/>
              </w:rPr>
              <w:t>81.2%</w:t>
            </w:r>
          </w:p>
        </w:tc>
      </w:tr>
      <w:tr w:rsidR="002F35AD" w:rsidRPr="00FB58F7" w:rsidTr="00610558">
        <w:trPr>
          <w:trHeight w:val="492"/>
        </w:trPr>
        <w:tc>
          <w:tcPr>
            <w:tcW w:w="1840" w:type="dxa"/>
          </w:tcPr>
          <w:p w:rsidR="002F35AD" w:rsidRPr="00FB58F7" w:rsidRDefault="002F35AD" w:rsidP="00E043F8">
            <w:pPr>
              <w:pStyle w:val="NoSpacing"/>
              <w:spacing w:line="276" w:lineRule="auto"/>
              <w:rPr>
                <w:rFonts w:ascii="Arial" w:hAnsi="Arial" w:cs="Arial"/>
                <w:b/>
                <w:bdr w:val="none" w:sz="0" w:space="0" w:color="auto" w:frame="1"/>
              </w:rPr>
            </w:pPr>
            <w:r w:rsidRPr="00FB58F7">
              <w:rPr>
                <w:rFonts w:ascii="Arial" w:hAnsi="Arial" w:cs="Arial"/>
                <w:b/>
                <w:bdr w:val="none" w:sz="0" w:space="0" w:color="auto" w:frame="1"/>
              </w:rPr>
              <w:t>2013</w:t>
            </w:r>
          </w:p>
        </w:tc>
        <w:tc>
          <w:tcPr>
            <w:tcW w:w="2551" w:type="dxa"/>
          </w:tcPr>
          <w:p w:rsidR="002F35AD" w:rsidRPr="00FB58F7" w:rsidRDefault="002F35AD" w:rsidP="00E043F8">
            <w:pPr>
              <w:pStyle w:val="NoSpacing"/>
              <w:spacing w:line="276" w:lineRule="auto"/>
              <w:rPr>
                <w:rFonts w:ascii="Arial" w:hAnsi="Arial" w:cs="Arial"/>
                <w:b/>
                <w:bdr w:val="none" w:sz="0" w:space="0" w:color="auto" w:frame="1"/>
              </w:rPr>
            </w:pPr>
            <w:r w:rsidRPr="00FB58F7">
              <w:rPr>
                <w:rFonts w:ascii="Arial" w:hAnsi="Arial" w:cs="Arial"/>
                <w:b/>
                <w:bdr w:val="none" w:sz="0" w:space="0" w:color="auto" w:frame="1"/>
              </w:rPr>
              <w:t>30,996</w:t>
            </w:r>
          </w:p>
        </w:tc>
        <w:tc>
          <w:tcPr>
            <w:tcW w:w="2733" w:type="dxa"/>
          </w:tcPr>
          <w:p w:rsidR="002F35AD" w:rsidRPr="00FB58F7" w:rsidRDefault="002F35AD" w:rsidP="00E043F8">
            <w:pPr>
              <w:pStyle w:val="NoSpacing"/>
              <w:spacing w:line="276" w:lineRule="auto"/>
              <w:rPr>
                <w:rFonts w:ascii="Arial" w:hAnsi="Arial" w:cs="Arial"/>
                <w:b/>
              </w:rPr>
            </w:pPr>
            <w:r w:rsidRPr="00FB58F7">
              <w:rPr>
                <w:rFonts w:ascii="Arial" w:hAnsi="Arial" w:cs="Arial"/>
                <w:b/>
                <w:bdr w:val="none" w:sz="0" w:space="0" w:color="auto" w:frame="1"/>
              </w:rPr>
              <w:t>22,493</w:t>
            </w:r>
          </w:p>
        </w:tc>
        <w:tc>
          <w:tcPr>
            <w:tcW w:w="2569" w:type="dxa"/>
          </w:tcPr>
          <w:p w:rsidR="002F35AD" w:rsidRPr="00FB58F7" w:rsidRDefault="002F35AD" w:rsidP="00E043F8">
            <w:pPr>
              <w:pStyle w:val="NoSpacing"/>
              <w:spacing w:line="276" w:lineRule="auto"/>
              <w:rPr>
                <w:rFonts w:ascii="Arial" w:hAnsi="Arial" w:cs="Arial"/>
                <w:b/>
              </w:rPr>
            </w:pPr>
            <w:r w:rsidRPr="00FB58F7">
              <w:rPr>
                <w:rFonts w:ascii="Arial" w:hAnsi="Arial" w:cs="Arial"/>
                <w:b/>
              </w:rPr>
              <w:t>72.6%</w:t>
            </w:r>
          </w:p>
        </w:tc>
      </w:tr>
    </w:tbl>
    <w:p w:rsidR="00FB58F7" w:rsidRDefault="00FB58F7" w:rsidP="00E043F8">
      <w:pPr>
        <w:pStyle w:val="NoSpacing"/>
        <w:spacing w:line="276" w:lineRule="auto"/>
        <w:ind w:firstLine="720"/>
        <w:rPr>
          <w:rFonts w:ascii="Arial" w:hAnsi="Arial" w:cs="Arial"/>
        </w:rPr>
      </w:pPr>
    </w:p>
    <w:p w:rsidR="00603734" w:rsidRPr="00FB58F7" w:rsidRDefault="004C1464" w:rsidP="00E043F8">
      <w:pPr>
        <w:pStyle w:val="NoSpacing"/>
        <w:spacing w:line="276" w:lineRule="auto"/>
        <w:rPr>
          <w:rFonts w:ascii="Arial" w:hAnsi="Arial" w:cs="Arial"/>
          <w:shd w:val="clear" w:color="auto" w:fill="FFFFFF"/>
        </w:rPr>
      </w:pPr>
      <w:r>
        <w:rPr>
          <w:rFonts w:ascii="Arial" w:hAnsi="Arial" w:cs="Arial"/>
          <w:b/>
          <w:shd w:val="clear" w:color="auto" w:fill="FFFFFF"/>
        </w:rPr>
        <w:t>Export Licenses, is just a</w:t>
      </w:r>
      <w:r w:rsidRPr="004C1464">
        <w:rPr>
          <w:rFonts w:ascii="Arial" w:hAnsi="Arial" w:cs="Arial"/>
          <w:b/>
          <w:shd w:val="clear" w:color="auto" w:fill="FFFFFF"/>
        </w:rPr>
        <w:t xml:space="preserve">nother type of Quota: </w:t>
      </w:r>
      <w:r w:rsidR="002F35AD" w:rsidRPr="00FB58F7">
        <w:rPr>
          <w:rFonts w:ascii="Arial" w:eastAsia="Times New Roman" w:hAnsi="Arial" w:cs="Arial"/>
          <w:color w:val="000000"/>
        </w:rPr>
        <w:t xml:space="preserve">According to the </w:t>
      </w:r>
      <w:r w:rsidR="00A40BD1">
        <w:rPr>
          <w:rFonts w:ascii="Arial" w:eastAsia="Times New Roman" w:hAnsi="Arial" w:cs="Arial"/>
          <w:color w:val="000000"/>
        </w:rPr>
        <w:t>a</w:t>
      </w:r>
      <w:r w:rsidR="002F35AD" w:rsidRPr="00FB58F7">
        <w:rPr>
          <w:rFonts w:ascii="Arial" w:eastAsia="Times New Roman" w:hAnsi="Arial" w:cs="Arial"/>
          <w:color w:val="000000"/>
        </w:rPr>
        <w:t>nnouncement</w:t>
      </w:r>
      <w:r>
        <w:rPr>
          <w:rFonts w:ascii="Arial" w:eastAsia="Times New Roman" w:hAnsi="Arial" w:cs="Arial"/>
          <w:color w:val="000000"/>
        </w:rPr>
        <w:t xml:space="preserve">, </w:t>
      </w:r>
      <w:r w:rsidR="002F35AD" w:rsidRPr="00FB58F7">
        <w:rPr>
          <w:rFonts w:ascii="Arial" w:eastAsia="Times New Roman" w:hAnsi="Arial" w:cs="Arial"/>
          <w:color w:val="000000"/>
        </w:rPr>
        <w:t>an exporting licensing system</w:t>
      </w:r>
      <w:r>
        <w:rPr>
          <w:rFonts w:ascii="Arial" w:eastAsia="Times New Roman" w:hAnsi="Arial" w:cs="Arial"/>
          <w:color w:val="000000"/>
        </w:rPr>
        <w:t xml:space="preserve"> has been put in place that limit</w:t>
      </w:r>
      <w:r w:rsidR="001835A3">
        <w:rPr>
          <w:rFonts w:ascii="Arial" w:eastAsia="Times New Roman" w:hAnsi="Arial" w:cs="Arial"/>
          <w:color w:val="000000"/>
        </w:rPr>
        <w:t>s</w:t>
      </w:r>
      <w:r>
        <w:rPr>
          <w:rFonts w:ascii="Arial" w:eastAsia="Times New Roman" w:hAnsi="Arial" w:cs="Arial"/>
          <w:color w:val="000000"/>
        </w:rPr>
        <w:t xml:space="preserve"> the number of companies that are permitted to export materials.  A </w:t>
      </w:r>
      <w:r w:rsidR="002F35AD" w:rsidRPr="00FB58F7">
        <w:rPr>
          <w:rFonts w:ascii="Arial" w:eastAsia="Times New Roman" w:hAnsi="Arial" w:cs="Arial"/>
          <w:color w:val="000000"/>
        </w:rPr>
        <w:t xml:space="preserve">total of 75 export licenses related to rare earth ore, metals and compounds listed in the 2015 Catalogue and are now subject to export control by means of licenses, which include 39 medium-and-heavy rare earths and 36 light rare earth mixtures. </w:t>
      </w:r>
      <w:r>
        <w:rPr>
          <w:rFonts w:ascii="Arial" w:eastAsia="Times New Roman" w:hAnsi="Arial" w:cs="Arial"/>
          <w:color w:val="000000"/>
        </w:rPr>
        <w:t xml:space="preserve">Furthermore, export of these materials must be routed through </w:t>
      </w:r>
      <w:r w:rsidR="001835A3">
        <w:rPr>
          <w:rFonts w:ascii="Arial" w:eastAsia="Times New Roman" w:hAnsi="Arial" w:cs="Arial"/>
          <w:color w:val="000000"/>
        </w:rPr>
        <w:t>1 of 8 specific locations</w:t>
      </w:r>
      <w:r w:rsidR="002F35AD" w:rsidRPr="00FB58F7">
        <w:rPr>
          <w:rFonts w:ascii="Arial" w:eastAsia="Times New Roman" w:hAnsi="Arial" w:cs="Arial"/>
          <w:color w:val="000000"/>
        </w:rPr>
        <w:t>: Tianjin Customs, Shanghai Customs, Qingdao Customs, Huangpu Customs, Huhehaote Customs, Nanchang Customs, Ningbo Customs, Nanjing Customs and Xiamen Customs.</w:t>
      </w:r>
    </w:p>
    <w:p w:rsidR="00DE3C1E" w:rsidRDefault="00DE3C1E" w:rsidP="002F35AD">
      <w:pPr>
        <w:pStyle w:val="NoSpacing"/>
        <w:rPr>
          <w:shd w:val="clear" w:color="auto" w:fill="FFFFFF"/>
        </w:rPr>
      </w:pPr>
    </w:p>
    <w:p w:rsidR="004C1464" w:rsidRPr="00FB58F7" w:rsidRDefault="001835A3" w:rsidP="001835A3">
      <w:pPr>
        <w:pStyle w:val="NoSpacing"/>
        <w:spacing w:line="276" w:lineRule="auto"/>
        <w:rPr>
          <w:rFonts w:ascii="Arial" w:eastAsia="SimSun" w:hAnsi="Arial" w:cs="Arial"/>
        </w:rPr>
      </w:pPr>
      <w:r>
        <w:rPr>
          <w:rFonts w:ascii="Arial" w:hAnsi="Arial" w:cs="Arial"/>
          <w:b/>
        </w:rPr>
        <w:t xml:space="preserve">Hefty </w:t>
      </w:r>
      <w:r w:rsidRPr="001835A3">
        <w:rPr>
          <w:rFonts w:ascii="Arial" w:hAnsi="Arial" w:cs="Arial"/>
          <w:b/>
        </w:rPr>
        <w:t>Tariffs</w:t>
      </w:r>
      <w:r>
        <w:rPr>
          <w:rFonts w:ascii="Arial" w:hAnsi="Arial" w:cs="Arial"/>
          <w:b/>
        </w:rPr>
        <w:t xml:space="preserve"> to continue</w:t>
      </w:r>
      <w:r w:rsidRPr="001835A3">
        <w:rPr>
          <w:rFonts w:ascii="Arial" w:hAnsi="Arial" w:cs="Arial"/>
          <w:b/>
        </w:rPr>
        <w:t>:</w:t>
      </w:r>
      <w:r>
        <w:rPr>
          <w:rFonts w:ascii="Arial" w:hAnsi="Arial" w:cs="Arial"/>
        </w:rPr>
        <w:t xml:space="preserve"> </w:t>
      </w:r>
      <w:r w:rsidR="004C1464" w:rsidRPr="00FB58F7">
        <w:rPr>
          <w:rFonts w:ascii="Arial" w:hAnsi="Arial" w:cs="Arial"/>
        </w:rPr>
        <w:t>Currently, China still requires rare earth exporters to pay 15-25% tariff as the China State Council Tariff Commission issued a "2015 tariff plan" on December 16</w:t>
      </w:r>
      <w:r w:rsidR="004C1464" w:rsidRPr="00FB58F7">
        <w:rPr>
          <w:rFonts w:ascii="Arial" w:hAnsi="Arial" w:cs="Arial"/>
          <w:vertAlign w:val="superscript"/>
        </w:rPr>
        <w:t>th</w:t>
      </w:r>
      <w:r w:rsidR="004C1464" w:rsidRPr="00FB58F7">
        <w:rPr>
          <w:rFonts w:ascii="Arial" w:hAnsi="Arial" w:cs="Arial"/>
        </w:rPr>
        <w:t xml:space="preserve">, 2014, which shows that the rare earths export tariffs remain the same as that of 2014. </w:t>
      </w:r>
      <w:r w:rsidR="00A40BD1">
        <w:rPr>
          <w:rFonts w:ascii="Arial" w:hAnsi="Arial" w:cs="Arial"/>
        </w:rPr>
        <w:t>However, unlikely, t</w:t>
      </w:r>
      <w:r w:rsidR="004C1464">
        <w:rPr>
          <w:rFonts w:ascii="Arial" w:hAnsi="Arial" w:cs="Arial"/>
        </w:rPr>
        <w:t>here is some speculation</w:t>
      </w:r>
      <w:r w:rsidR="004C1464" w:rsidRPr="00FB58F7">
        <w:rPr>
          <w:rFonts w:ascii="Arial" w:hAnsi="Arial" w:cs="Arial"/>
        </w:rPr>
        <w:t xml:space="preserve"> that </w:t>
      </w:r>
      <w:r w:rsidR="004C1464" w:rsidRPr="00FB58F7">
        <w:rPr>
          <w:rFonts w:ascii="Arial" w:eastAsia="SimSun" w:hAnsi="Arial" w:cs="Arial"/>
        </w:rPr>
        <w:t xml:space="preserve">tariffs on real earth materials </w:t>
      </w:r>
      <w:r>
        <w:rPr>
          <w:rFonts w:ascii="Arial" w:eastAsia="SimSun" w:hAnsi="Arial" w:cs="Arial"/>
        </w:rPr>
        <w:t>may be reduced</w:t>
      </w:r>
      <w:r w:rsidR="004C1464">
        <w:rPr>
          <w:rFonts w:ascii="Arial" w:eastAsia="SimSun" w:hAnsi="Arial" w:cs="Arial"/>
        </w:rPr>
        <w:t xml:space="preserve"> or be eliminated</w:t>
      </w:r>
      <w:r w:rsidR="004C1464" w:rsidRPr="00FB58F7">
        <w:rPr>
          <w:rFonts w:ascii="Arial" w:eastAsia="SimSun" w:hAnsi="Arial" w:cs="Arial"/>
        </w:rPr>
        <w:t xml:space="preserve"> in the second half of 2015</w:t>
      </w:r>
      <w:r w:rsidR="004C1464">
        <w:rPr>
          <w:rFonts w:ascii="Arial" w:eastAsia="SimSun" w:hAnsi="Arial" w:cs="Arial"/>
        </w:rPr>
        <w:t>.</w:t>
      </w:r>
    </w:p>
    <w:p w:rsidR="00DE3C1E" w:rsidRDefault="00DE3C1E" w:rsidP="002F35AD">
      <w:pPr>
        <w:pStyle w:val="NoSpacing"/>
        <w:rPr>
          <w:shd w:val="clear" w:color="auto" w:fill="FFFFFF"/>
        </w:rPr>
      </w:pPr>
    </w:p>
    <w:p w:rsidR="00AB5FB6" w:rsidRPr="001835A3" w:rsidRDefault="004C1464" w:rsidP="001835A3">
      <w:pPr>
        <w:pStyle w:val="NoSpacing"/>
        <w:spacing w:line="276" w:lineRule="auto"/>
        <w:rPr>
          <w:rFonts w:ascii="Arial" w:hAnsi="Arial" w:cs="Arial"/>
          <w:shd w:val="clear" w:color="auto" w:fill="FFFFFF"/>
        </w:rPr>
      </w:pPr>
      <w:r w:rsidRPr="004C1464">
        <w:rPr>
          <w:rFonts w:ascii="Arial" w:hAnsi="Arial" w:cs="Arial"/>
          <w:shd w:val="clear" w:color="auto" w:fill="FFFFFF"/>
        </w:rPr>
        <w:t xml:space="preserve">As a result of the </w:t>
      </w:r>
      <w:r w:rsidR="001835A3">
        <w:rPr>
          <w:rFonts w:ascii="Arial" w:hAnsi="Arial" w:cs="Arial"/>
          <w:shd w:val="clear" w:color="auto" w:fill="FFFFFF"/>
        </w:rPr>
        <w:t xml:space="preserve">Export Licensing System and </w:t>
      </w:r>
      <w:r w:rsidRPr="004C1464">
        <w:rPr>
          <w:rFonts w:ascii="Arial" w:hAnsi="Arial" w:cs="Arial"/>
          <w:shd w:val="clear" w:color="auto" w:fill="FFFFFF"/>
        </w:rPr>
        <w:t>2015 Tariff Plan, t</w:t>
      </w:r>
      <w:r w:rsidRPr="00FB58F7">
        <w:rPr>
          <w:rFonts w:ascii="Arial" w:hAnsi="Arial" w:cs="Arial"/>
          <w:shd w:val="clear" w:color="auto" w:fill="FFFFFF"/>
        </w:rPr>
        <w:t>he cancellation of rare earth export quotas by the Chinese government is expected to have a limited impact on the global rare earth market</w:t>
      </w:r>
      <w:r>
        <w:rPr>
          <w:rFonts w:ascii="Arial" w:hAnsi="Arial" w:cs="Arial"/>
          <w:shd w:val="clear" w:color="auto" w:fill="FFFFFF"/>
        </w:rPr>
        <w:t>.  Any relaxation of price due to higher export volumes will likely be offset by these export tariffs</w:t>
      </w:r>
      <w:r w:rsidR="001835A3">
        <w:rPr>
          <w:rFonts w:ascii="Arial" w:hAnsi="Arial" w:cs="Arial"/>
          <w:shd w:val="clear" w:color="auto" w:fill="FFFFFF"/>
        </w:rPr>
        <w:t xml:space="preserve"> and volumes will be limited by the permissible number of export licenses offered</w:t>
      </w:r>
      <w:r>
        <w:rPr>
          <w:rFonts w:ascii="Arial" w:hAnsi="Arial" w:cs="Arial"/>
          <w:shd w:val="clear" w:color="auto" w:fill="FFFFFF"/>
        </w:rPr>
        <w:t xml:space="preserve">.  It is evident that China’s </w:t>
      </w:r>
      <w:r w:rsidRPr="00FB58F7">
        <w:rPr>
          <w:rFonts w:ascii="Arial" w:hAnsi="Arial" w:cs="Arial"/>
          <w:shd w:val="clear" w:color="auto" w:fill="FFFFFF"/>
        </w:rPr>
        <w:t>goal is to form a tightly controlled fast track rare earth industry that includes production, sales, and distribution to the exporting.</w:t>
      </w:r>
    </w:p>
    <w:sectPr w:rsidR="00AB5FB6" w:rsidRPr="001835A3" w:rsidSect="001835A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FB6"/>
    <w:rsid w:val="00004B4D"/>
    <w:rsid w:val="00010A2A"/>
    <w:rsid w:val="00034D9C"/>
    <w:rsid w:val="000371FD"/>
    <w:rsid w:val="000506E8"/>
    <w:rsid w:val="00073B6A"/>
    <w:rsid w:val="00082135"/>
    <w:rsid w:val="000C2F17"/>
    <w:rsid w:val="000D00D9"/>
    <w:rsid w:val="000D3C0D"/>
    <w:rsid w:val="000E2A90"/>
    <w:rsid w:val="000F4160"/>
    <w:rsid w:val="00113133"/>
    <w:rsid w:val="00114CA1"/>
    <w:rsid w:val="001154D1"/>
    <w:rsid w:val="00132C95"/>
    <w:rsid w:val="001374D7"/>
    <w:rsid w:val="001556FC"/>
    <w:rsid w:val="001607B8"/>
    <w:rsid w:val="00160EC5"/>
    <w:rsid w:val="00162303"/>
    <w:rsid w:val="00167148"/>
    <w:rsid w:val="001835A3"/>
    <w:rsid w:val="00185A1D"/>
    <w:rsid w:val="00186587"/>
    <w:rsid w:val="00190AB8"/>
    <w:rsid w:val="001A7563"/>
    <w:rsid w:val="001C18AC"/>
    <w:rsid w:val="001D70CB"/>
    <w:rsid w:val="001F5796"/>
    <w:rsid w:val="00237FE4"/>
    <w:rsid w:val="00246DAF"/>
    <w:rsid w:val="00265685"/>
    <w:rsid w:val="00265B26"/>
    <w:rsid w:val="00271F35"/>
    <w:rsid w:val="002B7FAE"/>
    <w:rsid w:val="002D4339"/>
    <w:rsid w:val="002D7FD1"/>
    <w:rsid w:val="002F0664"/>
    <w:rsid w:val="002F1F11"/>
    <w:rsid w:val="002F35AD"/>
    <w:rsid w:val="002F3D7A"/>
    <w:rsid w:val="0030187F"/>
    <w:rsid w:val="003020EF"/>
    <w:rsid w:val="00333978"/>
    <w:rsid w:val="00335D68"/>
    <w:rsid w:val="00336AD6"/>
    <w:rsid w:val="003555DB"/>
    <w:rsid w:val="003628AC"/>
    <w:rsid w:val="003636DA"/>
    <w:rsid w:val="00364A42"/>
    <w:rsid w:val="003767BD"/>
    <w:rsid w:val="00385070"/>
    <w:rsid w:val="003978DA"/>
    <w:rsid w:val="003A16AB"/>
    <w:rsid w:val="003B11B9"/>
    <w:rsid w:val="003D2AE7"/>
    <w:rsid w:val="004026D1"/>
    <w:rsid w:val="004031D6"/>
    <w:rsid w:val="00413B88"/>
    <w:rsid w:val="00430443"/>
    <w:rsid w:val="00436F70"/>
    <w:rsid w:val="00450531"/>
    <w:rsid w:val="00451E67"/>
    <w:rsid w:val="004B54BF"/>
    <w:rsid w:val="004C0898"/>
    <w:rsid w:val="004C1464"/>
    <w:rsid w:val="004E2B4A"/>
    <w:rsid w:val="004F5BE9"/>
    <w:rsid w:val="0054551F"/>
    <w:rsid w:val="00550C39"/>
    <w:rsid w:val="00562DC2"/>
    <w:rsid w:val="00567639"/>
    <w:rsid w:val="0057406D"/>
    <w:rsid w:val="00581D7B"/>
    <w:rsid w:val="00582872"/>
    <w:rsid w:val="00587981"/>
    <w:rsid w:val="005F6776"/>
    <w:rsid w:val="005F6A84"/>
    <w:rsid w:val="00603734"/>
    <w:rsid w:val="00620EF4"/>
    <w:rsid w:val="00623AA2"/>
    <w:rsid w:val="0066655F"/>
    <w:rsid w:val="00681BCB"/>
    <w:rsid w:val="00683D73"/>
    <w:rsid w:val="00687106"/>
    <w:rsid w:val="006A1979"/>
    <w:rsid w:val="006A6E43"/>
    <w:rsid w:val="006B07BE"/>
    <w:rsid w:val="006B38BE"/>
    <w:rsid w:val="006D0EC2"/>
    <w:rsid w:val="006D4A84"/>
    <w:rsid w:val="006F75E9"/>
    <w:rsid w:val="007362B9"/>
    <w:rsid w:val="007533D5"/>
    <w:rsid w:val="007819EB"/>
    <w:rsid w:val="00782EC5"/>
    <w:rsid w:val="00794D44"/>
    <w:rsid w:val="007B319B"/>
    <w:rsid w:val="007B7757"/>
    <w:rsid w:val="007C1083"/>
    <w:rsid w:val="007D1E25"/>
    <w:rsid w:val="007F12F2"/>
    <w:rsid w:val="008028ED"/>
    <w:rsid w:val="00807025"/>
    <w:rsid w:val="00830A57"/>
    <w:rsid w:val="00831237"/>
    <w:rsid w:val="00870D9E"/>
    <w:rsid w:val="008A2993"/>
    <w:rsid w:val="008B19D0"/>
    <w:rsid w:val="008B248C"/>
    <w:rsid w:val="008B6DD6"/>
    <w:rsid w:val="008C21ED"/>
    <w:rsid w:val="008F228B"/>
    <w:rsid w:val="00907E69"/>
    <w:rsid w:val="009235E3"/>
    <w:rsid w:val="00933049"/>
    <w:rsid w:val="00942AA3"/>
    <w:rsid w:val="009E15EF"/>
    <w:rsid w:val="009F2D3A"/>
    <w:rsid w:val="00A00EAF"/>
    <w:rsid w:val="00A40BD1"/>
    <w:rsid w:val="00A47311"/>
    <w:rsid w:val="00A711C0"/>
    <w:rsid w:val="00A765D3"/>
    <w:rsid w:val="00A9359E"/>
    <w:rsid w:val="00AA5A4F"/>
    <w:rsid w:val="00AB5FB6"/>
    <w:rsid w:val="00AC08B0"/>
    <w:rsid w:val="00AD1A80"/>
    <w:rsid w:val="00AD4D40"/>
    <w:rsid w:val="00AE05DE"/>
    <w:rsid w:val="00AF6719"/>
    <w:rsid w:val="00B333C2"/>
    <w:rsid w:val="00B349B1"/>
    <w:rsid w:val="00B3677F"/>
    <w:rsid w:val="00B456CF"/>
    <w:rsid w:val="00B45751"/>
    <w:rsid w:val="00B650FE"/>
    <w:rsid w:val="00BA44A0"/>
    <w:rsid w:val="00BC3E10"/>
    <w:rsid w:val="00BC736B"/>
    <w:rsid w:val="00BE24B7"/>
    <w:rsid w:val="00BE472D"/>
    <w:rsid w:val="00BE7834"/>
    <w:rsid w:val="00C15B15"/>
    <w:rsid w:val="00C45EED"/>
    <w:rsid w:val="00C827D3"/>
    <w:rsid w:val="00C85B0D"/>
    <w:rsid w:val="00C8625D"/>
    <w:rsid w:val="00CD2A98"/>
    <w:rsid w:val="00CE657C"/>
    <w:rsid w:val="00CF26DC"/>
    <w:rsid w:val="00CF78FE"/>
    <w:rsid w:val="00D16FE1"/>
    <w:rsid w:val="00D206DB"/>
    <w:rsid w:val="00D5121B"/>
    <w:rsid w:val="00D5142C"/>
    <w:rsid w:val="00D51F8B"/>
    <w:rsid w:val="00D70CA5"/>
    <w:rsid w:val="00D71847"/>
    <w:rsid w:val="00DA379A"/>
    <w:rsid w:val="00DB42FF"/>
    <w:rsid w:val="00DC7464"/>
    <w:rsid w:val="00DE3C1E"/>
    <w:rsid w:val="00E00EB3"/>
    <w:rsid w:val="00E0125C"/>
    <w:rsid w:val="00E043F8"/>
    <w:rsid w:val="00E05B97"/>
    <w:rsid w:val="00E17177"/>
    <w:rsid w:val="00E20FCE"/>
    <w:rsid w:val="00E27951"/>
    <w:rsid w:val="00E74D19"/>
    <w:rsid w:val="00E95732"/>
    <w:rsid w:val="00EB0472"/>
    <w:rsid w:val="00EF160A"/>
    <w:rsid w:val="00F0696B"/>
    <w:rsid w:val="00F125A0"/>
    <w:rsid w:val="00F326D9"/>
    <w:rsid w:val="00F41572"/>
    <w:rsid w:val="00F42065"/>
    <w:rsid w:val="00F43DE5"/>
    <w:rsid w:val="00F50758"/>
    <w:rsid w:val="00F87CF2"/>
    <w:rsid w:val="00F90015"/>
    <w:rsid w:val="00FB5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37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FB6"/>
    <w:pPr>
      <w:spacing w:after="0" w:line="240" w:lineRule="auto"/>
    </w:pPr>
  </w:style>
  <w:style w:type="character" w:customStyle="1" w:styleId="Heading1Char">
    <w:name w:val="Heading 1 Char"/>
    <w:basedOn w:val="DefaultParagraphFont"/>
    <w:link w:val="Heading1"/>
    <w:uiPriority w:val="9"/>
    <w:rsid w:val="00603734"/>
    <w:rPr>
      <w:rFonts w:ascii="Times New Roman" w:eastAsia="Times New Roman" w:hAnsi="Times New Roman" w:cs="Times New Roman"/>
      <w:b/>
      <w:bCs/>
      <w:kern w:val="36"/>
      <w:sz w:val="48"/>
      <w:szCs w:val="48"/>
      <w:lang w:eastAsia="zh-CN"/>
    </w:rPr>
  </w:style>
  <w:style w:type="table" w:styleId="TableGrid">
    <w:name w:val="Table Grid"/>
    <w:basedOn w:val="TableNormal"/>
    <w:uiPriority w:val="59"/>
    <w:rsid w:val="002F35AD"/>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F35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37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FB6"/>
    <w:pPr>
      <w:spacing w:after="0" w:line="240" w:lineRule="auto"/>
    </w:pPr>
  </w:style>
  <w:style w:type="character" w:customStyle="1" w:styleId="Heading1Char">
    <w:name w:val="Heading 1 Char"/>
    <w:basedOn w:val="DefaultParagraphFont"/>
    <w:link w:val="Heading1"/>
    <w:uiPriority w:val="9"/>
    <w:rsid w:val="00603734"/>
    <w:rPr>
      <w:rFonts w:ascii="Times New Roman" w:eastAsia="Times New Roman" w:hAnsi="Times New Roman" w:cs="Times New Roman"/>
      <w:b/>
      <w:bCs/>
      <w:kern w:val="36"/>
      <w:sz w:val="48"/>
      <w:szCs w:val="48"/>
      <w:lang w:eastAsia="zh-CN"/>
    </w:rPr>
  </w:style>
  <w:style w:type="table" w:styleId="TableGrid">
    <w:name w:val="Table Grid"/>
    <w:basedOn w:val="TableNormal"/>
    <w:uiPriority w:val="59"/>
    <w:rsid w:val="002F35AD"/>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F3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Nguyen</dc:creator>
  <cp:lastModifiedBy>Nancy Nguyen</cp:lastModifiedBy>
  <cp:revision>3</cp:revision>
  <cp:lastPrinted>2015-01-30T00:32:00Z</cp:lastPrinted>
  <dcterms:created xsi:type="dcterms:W3CDTF">2015-01-30T00:58:00Z</dcterms:created>
  <dcterms:modified xsi:type="dcterms:W3CDTF">2015-01-30T00:53:00Z</dcterms:modified>
</cp:coreProperties>
</file>